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center"/>
              <w:rPr>
                <w:b/>
                <w:color w:val="0000FF"/>
              </w:rPr>
            </w:pPr>
            <w:r>
              <w:rPr>
                <w:b/>
                <w:color w:val="0000FF"/>
              </w:rPr>
              <w:t>Sound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depository shares, each ADS representing two hundred (200) 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04/30/2026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Benjamin Morris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42,922,600.00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42,922,600.00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42,922,600.00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Reporting Person owns 214,613 American Depositary Shares ("ADSs") of Sound Group Inc. as of the date of this filing. Each ADS represents 200 Class A Ordinary Shares. The ownership percentage of the Reporting Person is calculated based on a total of 611,614,150 Class A Ordinary Shares (excluding 841,050 Class A Ordinary Shares held by Kastle Limited) outstanding as of February 28, 2026, as reported in the Company's Annual Report on Form 20-F filed with the Securities and Exchange Commission on April 30, 2026. The CUSIP number set forth above is for the ADSs only.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Sound Group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 Robinson Road, #09-01 Singapore, U0, 068900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John Benjamin Morris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3110 NW 75th St, Seattle, WA 98117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depository shares, each ADS representing two hundred (200) 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John Benjamin Morris</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John Benjamin Morris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John Benjamin Morris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4547</Characters>
  <CharactersWithSpaces>5430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