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001-39177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Sound Group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Robinson Road,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#09-01 Singapore 068900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1865"/>
        <w:gridCol w:w="545"/>
        <w:gridCol w:w="276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Jinnan (Marco) Lai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6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Jinnan (Marco) Lai</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6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 Director</w:t>
            </w:r>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pBdr/>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28" w:type="dxa"/>
          <w:right w:w="0" w:type="dxa"/>
        </w:tblCellMar>
      </w:tblPr>
      <w:tblGrid>
        <w:gridCol w:w="995"/>
        <w:gridCol w:w="60"/>
        <w:gridCol w:w="14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Earnings Release</w:t>
              </w:r>
            </w:hyperlink>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right"/>
        <w:rPr>
          <w:caps w:val="false"/>
          <w:smallCaps w:val="false"/>
        </w:rPr>
      </w:pPr>
      <w:bookmarkStart w:id="2" w:name="ex99-1.htm"/>
      <w:bookmarkStart w:id="3" w:name="ksex991"/>
      <w:bookmarkEnd w:id="2"/>
      <w:bookmarkEnd w:id="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pBdr/>
        <w:bidi w:val="0"/>
        <w:spacing w:before="0" w:after="0"/>
        <w:ind w:left="0" w:right="0" w:hanging="0"/>
        <w:jc w:val="righ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 Reports Unaudited Financial Results for the First Half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 26, 2026 (GLOBE NEWSWIRE) -- Sound Group Inc. (NASDAQ: SOGP) (“SOGP” or the “Company” or “We”), a global AI-powered audio company, today announced its unaudited financial results for the six months ended 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Financial and Operational Highlights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RMB1,690.6 million (US$249.2 million), representing a 25% increase from RMB1,357.7 million for the same period last year.</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RMB120.5 million (US$17.8 million), representing a 78% increase from RMB67.6 million for the same period last year.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Jinnan (Marco) Lai, Founder and CEO of SOGP, commented, “We delivered another solid performance in the first half of 2026, with net revenues and net income increasing by 25% and 78% year-over-year respectively. These results validated our dual-engine growth strategy of accelerating our global AI business expansion while strengthening our established online audio ecosystem.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 business achieved meaningful progress, with subscription revenues surging 245% year-over-year, driven by an expanding portfolio of AI-powered applications and accelerating commercialization. Globally, our products are gaining encouraging traction. According to Sensor Tower, year-to-date in 2026, one of our flagship products has achieved a single-day peak ranking of No. 1 among the highest-grossing Utilities applications in 23 markets and ranked among the Top 10 in 83 markets, with several other products also performing strongly. Our products have also received high ratings across major app stores, reflecting superior user experiences and positive feedback worldwide. Together, these results demonstrate growing user demand, strengthening monetization capabilities, and the global scalability of our AI offerings.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technology front, we are strengthening our voice AI and real-time audio intelligence capabilities, while translating these technological advances into products designed for distinct user scenarios. Our product strategy combines horizontal expansion across diverse application scenarios with deep vertical development tailored to specific user groups, enabling both broader reach of our AI portfolio and increasingly unique experiences.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value-added services business, we continued to enrich our online audio ecosystem and reinforce the connections between users, content creators, and the platform. We expanded our content offerings, enhanced product experiences, and upgraded creator support and incentives. We also applied AI more widely across content creation, personalized recommendations, platform operations, and user acquisition to boost efficiency and better serve the evolving needs of our users and creators.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AI will remain a key driver of both the continued evolution of our established business and the development of new growth opportunities. In our online audio business, we will deepen AI integration to enhance ecosystem efficiency and user engagement. For our AI applications, we will continue to refine products based on user insights, accelerate product iteration and commercialization validation, and explore practical, high-frequency, and scalable use cases through our expanding portfolio. By strengthening the flywheel connecting technology, products, users, and real-world data, we aim to scale our AI business and create sustainable, long-term value for our stakeholders.”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Chengfang Lu, Acting CFO of SOGP, said, “Our financial results remained robust in the first half of 2026, supported by the disciplined execution of our dual-engine growth strategy. Net revenues increased by 25% year-over-year, with gross profit and operating income up 32% and 88%, respectively. Gross margin expanded to 31%, up from 29% in the prior-year period. These results demonstrate the resilience of our business model and our sustained focus on operational efficiency.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value-added services business continued to serve as a solid revenue foundation, while subscription revenues grew by 245% year-over-year, driven by the further expansion of our AI applications portfolio. We are encouraged by the growing contribution from our AI business and see meaningful upside potential as it scales.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we will maintain a disciplined approach to resource allocation and cost management, while making strategic investments in AI technology and product innovation. Supported by our solid financial position, we will continue to pursue sustainable growth and create long-term value for our shareholders.”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Unaudited Financial Results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RMB1,690.6 million (US$249.2 million) for the six months ended June 30, 2026, representing a 25% increase from RMB1,357.7 million for the same period of 2025, primarily due to (i) growth in our value-added services, supported by more diversified audio content offering, and (ii) increased revenue from our subscription services, driven by the continued expansion of our AI applications portfolio.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of revenues</w:t>
      </w:r>
      <w:r>
        <w:rPr>
          <w:rFonts w:ascii="Times New Roman;Times;Serif" w:hAnsi="Times New Roman;Times;Serif"/>
          <w:b w:val="false"/>
          <w:i w:val="false"/>
          <w:caps w:val="false"/>
          <w:smallCaps w:val="false"/>
          <w:sz w:val="20"/>
        </w:rPr>
        <w:t xml:space="preserve"> were RMB1,174.5 million (US$173.1 million) for the six months ended June 30, 2026, representing a 22% increase from RMB965.6 million for the same period of 2025. The increase was mainly attributable to (i) an increase in revenue sharing-fees for content creators which grew in line with net revenues, (ii) increased payment handling costs, (iii) increased salary and welfare benefits expenses, and (iv) increased other miscellaneous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RMB516.1 million (US$76.1 million) for the six months ended June 30, 2026, representing a 32% increase from RMB392.1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profit</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RMB516.3 million (US$76.1 million) for the six months ended June 30, 2026, representing a 32% increase from RMB392.3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was 31% for the six months ended June 30, 2026, compared with 29%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gross margin</w:t>
      </w:r>
      <w:r>
        <w:rPr>
          <w:rFonts w:ascii="Times New Roman;Times;Serif" w:hAnsi="Times New Roman;Times;Serif"/>
          <w:b w:val="false"/>
          <w:i w:val="false"/>
          <w:caps w:val="false"/>
          <w:smallCaps w:val="false"/>
          <w:sz w:val="20"/>
        </w:rPr>
        <w:t xml:space="preserve"> was 31% for the six months ended June 30, 2026, compared with 29%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gross profit is a non-GAAP financial measure, which is defined as gross profit excluding share-based compensation expenses. This adjustment amounted to RMB0.2 million (US$0.0 million) and RMB0.2 million for the six months ended June 30, 2026 and 2025, respectively. Please refer to the section below titled “Unaudited Reconciliations of GAAP and Non-GAAP Results” for details.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were RMB397.3 million (US$58.6 million) for the six months ended June 30, 2026, representing a 21% increase from RMB328.9 million for the same period of 2025. In line with its long-term development strategy, the Company increased its investments during the first half of 2026 to advance its AI technologies, accelerate product innovation and support global user growth. The Company will continue to dynamically adjust its resource allocation based on its strategic priorities, business performance and market conditions, while maintaining a disciplined approach to cost management.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xml:space="preserve"> were RMB127.2 million (US$18.7 million) for the six months ended June 30, 2026, representing a 5% increase from RMB121.4 million for the same period of 2025, primarily due to increased salary and welfare benefits expenses, which were partially offset by decreases in (i) share-based compensation expenses and (ii) expenses related to research and development services provided by third parties.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xml:space="preserve"> were RMB225.4 million (US$33.2 million) for the six months ended June 30, 2026, representing a 47% increase from RMB153.4 million for the same period of 2025, primarily attributable to increases in (i) branding and marketing expenses and (ii) salary and welfare benefits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RMB44.8 million (US$6.6 million) for the six months ended June 30, 2026, compared to RMB54.1 million for the same period of 2025, mainly driven by decreases in (i) salary and welfare benefits expenses, (ii) professional service fees, and (iii) other miscellaneous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was RMB118.8 million (US$17.5 million) for the six months ended June 30, 2026, representing an 88% increase from RMB63.2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operating income</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was RMB119.7 million (US$17.6 million) for the six months ended June 30, 2026, representing an 81% increase from RMB65.9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was RMB120.5 million (US$17.8 million) for the six months ended June 30, 2026, representing a 78% increase from RMB67.6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was RMB121.4 million (US$17.9 million) for the six months ended June 30, 2026, representing a 73% increase from RMB70.4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Sound Group Inc.’s ordinary shareholders</w:t>
      </w:r>
      <w:r>
        <w:rPr>
          <w:rFonts w:ascii="Times New Roman;Times;Serif" w:hAnsi="Times New Roman;Times;Serif"/>
          <w:b w:val="false"/>
          <w:i w:val="false"/>
          <w:caps w:val="false"/>
          <w:smallCaps w:val="false"/>
          <w:sz w:val="20"/>
        </w:rPr>
        <w:t xml:space="preserve"> was RMB123.5 million (US$18.2 million) for the six months ended June 30, 2026, representing a 75% increase from RMB70.5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net income attributable to Sound Group Inc.’s ordinary shareholders</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RMB124.4 million (US$18.3 million) for the six months ended June 30, 2026, representing a 70% increase from RMB73.3 million for the same period of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income per ADS</w:t>
      </w:r>
      <w:r>
        <w:rPr>
          <w:rFonts w:ascii="Times New Roman;Times;Serif" w:hAnsi="Times New Roman;Times;Serif"/>
          <w:b/>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were RMB29.08 and RMB28.96 (US$4.29 and US$4.27), respectively, for the six months ended June 30, 2026, representing 112% and 111% increases from RMB13.73 for both basic and diluted net income per ADS for the same period of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basic and diluted net income per ADS</w:t>
      </w:r>
      <w:r>
        <w:rPr>
          <w:rFonts w:ascii="Times New Roman;Times;Serif" w:hAnsi="Times New Roman;Times;Serif"/>
          <w:b/>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were RMB29.29 and RMB29.17 (US$4.32 and US$4.30), respectively, for the six months ended June 30, 2026, representing 105% and 104% increases from RMB14.28 for both non-GAAP basic and diluted net income per ADS for the same period of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and restricted cash of RMB727.6 million (US$107.2 million).</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operating income is a non-GAAP financial measure, which is defined as operating income excluding share-based compensation expenses. This adjustment amounted to RMB0.9 million (US$0.1 million) and RMB2.8 million for the six months ended June 30, 2026 and 2025, respectively. Please refer to the section below titled “Unaudited Reconciliations of GAAP and Non-GAAP Results” for details.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Non-GAAP net income is a non-GAAP financial measure, which is defined as net income excluding share-based compensation expenses. These adjustments amounted to RMB0.9 million (US$0.1 million) and RMB2.8 million for the six months ended June 30, 2026 and 2025, respectively. Please refer to the section below titled “Unaudited Reconciliations of GAAP and Non-GAAP Results” for details.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Non-GAAP net income attributable to Sound Group Inc.’s ordinary shareholders is a non-GAAP financial measure, which is defined as net income attributable to Sound Group Inc.’s ordinary shareholders, excluding share-based compensation expenses. These adjustments amounted to RMB0.9 million (US$0.1 million) and RMB2.8 million for the six months ended June 30, 2026 and 2025, respectively. Please refer to the section below titled “Unaudited Reconciliations of GAAP and Non-GAAP Results” for details.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ADS refers to American Depositary Share. Each ADS represents two hundred Class A ordinary shares of the Company. Basic and diluted net income per ADS is net income attributable to Sound Group Inc.’s ordinary shareholders divided by the weighted average number of ADS.</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Non-GAAP basic and diluted net income per ADS is a non-GAAP financial measure, which is defined as non-GAAP net income attributable to Sound Group Inc.’s ordinary shareholders divided by the weighted average number of ADS used in the calculation of basic and diluted net income per ADS.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Sound Group Inc.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 (NASDAQ: SOGP) is a global AI-powered audio company on a mission to help people connect better and live happier. Leveraging its voice AI technologies and deep expertise in audio interaction, Sound Group is building a diverse ecosystem of intelligent audio products that cater to a global user base. By integrating technology, innovative products, and real-world data within a user-centric ecosystem, the Company generates a powerful growth flywheel that is driving continuous innovation and accelerating its global expansion. Sound Group Inc. has been listed on Nasdaq since January 2020.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https://ir.soundgroupinc.com/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United States of America (“U.S. GAAP”).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SOGP uses non-GAAP gross profit, non-GAAP gross margin, non-GAAP operating loss/income, non-GAAP net loss/income, non-GAAP net loss/income attributable to Sound Group Inc.’s ordinary shareholders and non-GAAP basic and diluted net loss/income per ADS, which are non-GAAP financial measures. Non-GAAP gross profit is gross profit excluding share-based compensation expenses. Non-GAAP gross margin is non-GAAP gross profit as a percentage of net revenues. Non-GAAP operating loss/income is operating loss/income excluding share-based compensation expenses. Non-GAAP net loss/income is net loss/income, excluding share-based compensation expenses. Non-GAAP net loss/income attributable to Sound Group Inc.’s ordinary shareholders is net loss/income attributable to Sound Group Inc.’s ordinary shareholders, excluding share-based compensation expenses. Non-GAAP basic and diluted net loss/income per ADS is non-GAAP net loss/income attributable to Sound Group Inc.’s ordinary shareholders divided by the weighted average number of ADS used in the calculation of basic and diluted net loss/income per ADS. The Company believes that separate analysis and exclusion of the non-cash impact of the above reconciling item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share-based compensation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similarly titled measures used by other companies. In light of the foregoing limitations, you should not consider non-GAAP financial measures in isolation from, superior to, or as an alternative to the financial measure prepared in accordance with U.S. GAAP.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“Unaudited Reconciliations of GAAP and Non-GAAP Results” near the end of this release.</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RMB to U.S. dollars and from U.S. dollars to RMB are made at a rate of RMB6.7851 to US$1.00, the exchange rate on June 30, 2026, set forth in the H.10 statistical release of the Federal Reserve Board. The Company makes no representation that the RMB or U.S. dollars amounts referred could be converted into U.S. dollar or RMB, as the case may be, at any particular rate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including but not limited to the following: the Company’s goals and strategies; the Company’s future business development, results of operations and financial condition; the expected growth of the online audio market; the expectation regarding the rate at which to gain active users, especially paying users; the Company’s ability to monetize the user base; fluctuations in general economic and business conditions in China and overseas markets; any adverse changes in laws, regulations, rules, policies or guidelines applicable to the Company; and assumptions underlying or related to any of the foregoing.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Securities Exchange Commission. All information provided in this press release is as of the date of this press release, and the Company does not undertake any duty to update such information, except as required under applicable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 Group Inc.</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 Department</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ir@soundgroupinc.com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soundgroup@christensencomms.com</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center"/>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5015"/>
        <w:gridCol w:w="60"/>
        <w:gridCol w:w="81"/>
        <w:gridCol w:w="1093"/>
        <w:gridCol w:w="60"/>
        <w:gridCol w:w="60"/>
        <w:gridCol w:w="60"/>
        <w:gridCol w:w="800"/>
        <w:gridCol w:w="60"/>
        <w:gridCol w:w="60"/>
        <w:gridCol w:w="60"/>
        <w:gridCol w:w="800"/>
        <w:gridCol w:w="75"/>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50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655,058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721,118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106,280</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953</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49,683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7,768</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710,557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115,001</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Property, equipment and leasehold improvement,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1,495</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89</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884</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23,572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3,235</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2,536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6,476</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749,614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824,225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121,477</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58,751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9,787</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38,240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5,600</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Salary and welfare payable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176,216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145,870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21,499</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1,052</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Short-term loans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Lease liabilities due within one year</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14,619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2,080</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68,327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86,323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12,724</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365,356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357,845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52,742</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1,258</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1,259</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375,318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366,390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54,001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9"/>
        <w:gridCol w:w="60"/>
        <w:gridCol w:w="60"/>
        <w:gridCol w:w="1064"/>
        <w:gridCol w:w="95"/>
        <w:gridCol w:w="60"/>
        <w:gridCol w:w="60"/>
        <w:gridCol w:w="1055"/>
        <w:gridCol w:w="95"/>
        <w:gridCol w:w="60"/>
        <w:gridCol w:w="60"/>
        <w:gridCol w:w="875"/>
        <w:gridCol w:w="112"/>
      </w:tblGrid>
      <w:tr>
        <w:trPr/>
        <w:tc>
          <w:tcPr>
            <w:tcW w:w="65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2" w:type="dxa"/>
            <w:tcBorders/>
            <w:vAlign w:val="center"/>
          </w:tcPr>
          <w:p>
            <w:pPr>
              <w:pStyle w:val="TableContents"/>
              <w:bidi w:val="0"/>
              <w:spacing w:before="0" w:after="283"/>
              <w:jc w:val="left"/>
              <w:rPr/>
            </w:pPr>
            <w:r>
              <w:rPr/>
              <w:t> </w:t>
            </w:r>
          </w:p>
        </w:tc>
      </w:tr>
      <w:tr>
        <w:trPr/>
        <w:tc>
          <w:tcPr>
            <w:tcW w:w="65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4"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US$</w:t>
            </w:r>
          </w:p>
        </w:tc>
        <w:tc>
          <w:tcPr>
            <w:tcW w:w="112" w:type="dxa"/>
            <w:tcBorders/>
            <w:vAlign w:val="center"/>
          </w:tcPr>
          <w:p>
            <w:pPr>
              <w:pStyle w:val="TableContents"/>
              <w:bidi w:val="0"/>
              <w:spacing w:before="0" w:after="283"/>
              <w:jc w:val="center"/>
              <w:rPr/>
            </w:pPr>
            <w:r>
              <w:rPr/>
              <w:t> </w:t>
            </w:r>
          </w:p>
        </w:tc>
      </w:tr>
      <w:tr>
        <w:trPr/>
        <w:tc>
          <w:tcPr>
            <w:tcW w:w="6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pPr>
            <w:r>
              <w:rPr/>
              <w:t>Class A Ordinary shares (US$0.0001 par value; 1,268,785,000 shares authorized, 648,711,860 shares issued and 602,098,350 shares outstanding as of December 31, 2025; 1,268,785,000 shares authorized, 648,711,860 shares issued and 606,557,350 shares outstanding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w:t>
            </w:r>
          </w:p>
        </w:tc>
        <w:tc>
          <w:tcPr>
            <w:tcW w:w="112" w:type="dxa"/>
            <w:tcBorders/>
            <w:shd w:fill="FFFFFF" w:val="clear"/>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pPr>
            <w:r>
              <w:rPr/>
              <w:t>Class B Ordinary shares (US$0.0001 par value, 231,215,000 shares authorized, issued and outstanding as of December 31, 2025 and June 30, 2026,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(10,156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(706</w:t>
            </w:r>
          </w:p>
        </w:tc>
        <w:tc>
          <w:tcPr>
            <w:tcW w:w="112" w:type="dxa"/>
            <w:tcBorders/>
            <w:shd w:fill="FFFFFF" w:val="clear"/>
            <w:vAlign w:val="center"/>
          </w:tcPr>
          <w:p>
            <w:pPr>
              <w:pStyle w:val="TableContents"/>
              <w:bidi w:val="0"/>
              <w:spacing w:before="0" w:after="283"/>
              <w:jc w:val="left"/>
              <w:rPr/>
            </w:pPr>
            <w:r>
              <w:rPr/>
              <w:t>)</w:t>
            </w:r>
          </w:p>
        </w:tc>
      </w:tr>
      <w:tr>
        <w:trPr/>
        <w:tc>
          <w:tcPr>
            <w:tcW w:w="6549"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2,678,350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2,673,585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394,038</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2,121</w:t>
            </w:r>
          </w:p>
        </w:tc>
        <w:tc>
          <w:tcPr>
            <w:tcW w:w="112" w:type="dxa"/>
            <w:tcBorders/>
            <w:shd w:fill="FFFFFF" w:val="clear"/>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(2,314,891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(2,225,273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(327,965</w:t>
            </w:r>
          </w:p>
        </w:tc>
        <w:tc>
          <w:tcPr>
            <w:tcW w:w="112" w:type="dxa"/>
            <w:tcBorders/>
            <w:shd w:fill="CCEEFF" w:val="clear"/>
            <w:vAlign w:val="center"/>
          </w:tcPr>
          <w:p>
            <w:pPr>
              <w:pStyle w:val="TableContents"/>
              <w:bidi w:val="0"/>
              <w:spacing w:before="0" w:after="283"/>
              <w:jc w:val="left"/>
              <w:rPr/>
            </w:pPr>
            <w:r>
              <w:rPr/>
              <w:t>)</w:t>
            </w:r>
          </w:p>
        </w:tc>
      </w:tr>
      <w:tr>
        <w:trPr/>
        <w:tc>
          <w:tcPr>
            <w:tcW w:w="6549"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32,777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4,270</w:t>
            </w:r>
          </w:p>
        </w:tc>
        <w:tc>
          <w:tcPr>
            <w:tcW w:w="112" w:type="dxa"/>
            <w:tcBorders/>
            <w:shd w:fill="FFFFFF" w:val="clear"/>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b/>
              </w:rPr>
            </w:pPr>
            <w:r>
              <w:rPr>
                <w:b/>
              </w:rPr>
              <w:t>TOTAL SOGP Inc.’s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401,062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487,479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71,845</w:t>
            </w:r>
          </w:p>
        </w:tc>
        <w:tc>
          <w:tcPr>
            <w:tcW w:w="112" w:type="dxa"/>
            <w:tcBorders/>
            <w:shd w:fill="FFFFFF" w:val="clear"/>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(26,766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(4,369</w:t>
            </w:r>
          </w:p>
        </w:tc>
        <w:tc>
          <w:tcPr>
            <w:tcW w:w="112" w:type="dxa"/>
            <w:tcBorders/>
            <w:shd w:fill="FFFFFF" w:val="clear"/>
            <w:vAlign w:val="center"/>
          </w:tcPr>
          <w:p>
            <w:pPr>
              <w:pStyle w:val="TableContents"/>
              <w:bidi w:val="0"/>
              <w:spacing w:before="0" w:after="283"/>
              <w:jc w:val="left"/>
              <w:rPr/>
            </w:pPr>
            <w:r>
              <w:rPr/>
              <w:t>)</w:t>
            </w:r>
          </w:p>
        </w:tc>
      </w:tr>
      <w:tr>
        <w:trPr/>
        <w:tc>
          <w:tcPr>
            <w:tcW w:w="65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457,835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67,476</w:t>
            </w:r>
          </w:p>
        </w:tc>
        <w:tc>
          <w:tcPr>
            <w:tcW w:w="112" w:type="dxa"/>
            <w:tcBorders/>
            <w:shd w:fill="FFFFFF" w:val="clear"/>
            <w:vAlign w:val="center"/>
          </w:tcPr>
          <w:p>
            <w:pPr>
              <w:pStyle w:val="TableContents"/>
              <w:bidi w:val="0"/>
              <w:spacing w:before="0" w:after="283"/>
              <w:jc w:val="left"/>
              <w:rPr/>
            </w:pPr>
            <w:r>
              <w:rPr/>
              <w:t> </w:t>
            </w:r>
          </w:p>
        </w:tc>
      </w:tr>
      <w:tr>
        <w:trPr/>
        <w:tc>
          <w:tcPr>
            <w:tcW w:w="65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49"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749,614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824,225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121,477</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4"/>
        <w:gridCol w:w="60"/>
        <w:gridCol w:w="60"/>
        <w:gridCol w:w="980"/>
        <w:gridCol w:w="95"/>
        <w:gridCol w:w="60"/>
        <w:gridCol w:w="62"/>
        <w:gridCol w:w="1093"/>
        <w:gridCol w:w="95"/>
        <w:gridCol w:w="60"/>
        <w:gridCol w:w="60"/>
        <w:gridCol w:w="1055"/>
        <w:gridCol w:w="95"/>
        <w:gridCol w:w="60"/>
        <w:gridCol w:w="60"/>
        <w:gridCol w:w="875"/>
        <w:gridCol w:w="111"/>
      </w:tblGrid>
      <w:tr>
        <w:trPr/>
        <w:tc>
          <w:tcPr>
            <w:tcW w:w="5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1" w:type="dxa"/>
            <w:tcBorders/>
            <w:vAlign w:val="center"/>
          </w:tcPr>
          <w:p>
            <w:pPr>
              <w:pStyle w:val="TableContents"/>
              <w:bidi w:val="0"/>
              <w:spacing w:before="0" w:after="283"/>
              <w:jc w:val="left"/>
              <w:rPr/>
            </w:pPr>
            <w:r>
              <w:rPr/>
              <w:t> </w:t>
            </w:r>
          </w:p>
        </w:tc>
      </w:tr>
      <w:tr>
        <w:trPr/>
        <w:tc>
          <w:tcPr>
            <w:tcW w:w="5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1" w:type="dxa"/>
            <w:tcBorders/>
            <w:vAlign w:val="center"/>
          </w:tcPr>
          <w:p>
            <w:pPr>
              <w:pStyle w:val="TableContents"/>
              <w:bidi w:val="0"/>
              <w:spacing w:before="0" w:after="283"/>
              <w:jc w:val="left"/>
              <w:rPr/>
            </w:pPr>
            <w:r>
              <w:rPr/>
              <w:t> </w:t>
            </w:r>
          </w:p>
        </w:tc>
      </w:tr>
      <w:tr>
        <w:trPr/>
        <w:tc>
          <w:tcPr>
            <w:tcW w:w="53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5"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US$</w:t>
            </w:r>
          </w:p>
        </w:tc>
        <w:tc>
          <w:tcPr>
            <w:tcW w:w="111" w:type="dxa"/>
            <w:tcBorders/>
            <w:vAlign w:val="center"/>
          </w:tcPr>
          <w:p>
            <w:pPr>
              <w:pStyle w:val="TableContents"/>
              <w:bidi w:val="0"/>
              <w:spacing w:before="0" w:after="283"/>
              <w:jc w:val="center"/>
              <w:rPr/>
            </w:pPr>
            <w:r>
              <w:rPr/>
              <w:t> </w:t>
            </w:r>
          </w:p>
        </w:tc>
      </w:tr>
      <w:tr>
        <w:trPr/>
        <w:tc>
          <w:tcPr>
            <w:tcW w:w="5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pPr>
            <w:r>
              <w:rPr/>
              <w:t>Value-added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1,715,034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1,634,521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240,899</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Subscription and 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16,282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30,046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56,128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8,272</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b/>
              </w:rPr>
            </w:pPr>
            <w:r>
              <w:rPr>
                <w:b/>
              </w:rPr>
              <w:t>Total 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1,357,674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b/>
              </w:rPr>
            </w:pPr>
            <w:r>
              <w:rPr>
                <w:b/>
              </w:rPr>
              <w:t>1,745,080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1,690,649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249,171</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(965,618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283"/>
              <w:jc w:val="right"/>
              <w:rPr/>
            </w:pPr>
            <w:r>
              <w:rPr/>
              <w:t>(1,231,977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(1,174,531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(173,104</w:t>
            </w:r>
          </w:p>
        </w:tc>
        <w:tc>
          <w:tcPr>
            <w:tcW w:w="111" w:type="dxa"/>
            <w:tcBorders/>
            <w:shd w:fill="CCEEFF" w:val="clear"/>
            <w:vAlign w:val="center"/>
          </w:tcPr>
          <w:p>
            <w:pPr>
              <w:pStyle w:val="TableContents"/>
              <w:bidi w:val="0"/>
              <w:spacing w:before="0" w:after="283"/>
              <w:jc w:val="left"/>
              <w:rPr/>
            </w:pPr>
            <w:r>
              <w:rPr/>
              <w:t>)</w:t>
            </w:r>
          </w:p>
        </w:tc>
      </w:tr>
      <w:tr>
        <w:trPr/>
        <w:tc>
          <w:tcPr>
            <w:tcW w:w="5324"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392,056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513,103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76,067</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Operating expenses </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(153,390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(194,300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(33,216</w:t>
            </w:r>
          </w:p>
        </w:tc>
        <w:tc>
          <w:tcPr>
            <w:tcW w:w="111" w:type="dxa"/>
            <w:tcBorders/>
            <w:shd w:fill="CCEEFF" w:val="clear"/>
            <w:vAlign w:val="center"/>
          </w:tcPr>
          <w:p>
            <w:pPr>
              <w:pStyle w:val="TableContents"/>
              <w:bidi w:val="0"/>
              <w:spacing w:before="0" w:after="283"/>
              <w:jc w:val="left"/>
              <w:rPr/>
            </w:pPr>
            <w:r>
              <w:rPr/>
              <w:t>)</w:t>
            </w:r>
          </w:p>
        </w:tc>
      </w:tr>
      <w:tr>
        <w:trPr/>
        <w:tc>
          <w:tcPr>
            <w:tcW w:w="5324"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(46,135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(44,788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(6,601</w:t>
            </w:r>
          </w:p>
        </w:tc>
        <w:tc>
          <w:tcPr>
            <w:tcW w:w="111" w:type="dxa"/>
            <w:tcBorders/>
            <w:shd w:fill="FFFFFF" w:val="clear"/>
            <w:vAlign w:val="center"/>
          </w:tcPr>
          <w:p>
            <w:pPr>
              <w:pStyle w:val="TableContents"/>
              <w:bidi w:val="0"/>
              <w:spacing w:before="0" w:after="283"/>
              <w:jc w:val="left"/>
              <w:rPr/>
            </w:pPr>
            <w:r>
              <w:rPr/>
              <w:t>)</w:t>
            </w:r>
          </w:p>
        </w:tc>
      </w:tr>
      <w:tr>
        <w:trPr/>
        <w:tc>
          <w:tcPr>
            <w:tcW w:w="5324"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(121,390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(118,823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(18,744</w:t>
            </w:r>
          </w:p>
        </w:tc>
        <w:tc>
          <w:tcPr>
            <w:tcW w:w="111" w:type="dxa"/>
            <w:tcBorders/>
            <w:shd w:fill="CCEEFF" w:val="clear"/>
            <w:vAlign w:val="center"/>
          </w:tcPr>
          <w:p>
            <w:pPr>
              <w:pStyle w:val="TableContents"/>
              <w:bidi w:val="0"/>
              <w:spacing w:before="0" w:after="283"/>
              <w:jc w:val="left"/>
              <w:rPr/>
            </w:pPr>
            <w:r>
              <w:rPr/>
              <w:t>)</w:t>
            </w:r>
          </w:p>
        </w:tc>
      </w:tr>
      <w:tr>
        <w:trPr/>
        <w:tc>
          <w:tcPr>
            <w:tcW w:w="532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(328,899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b/>
              </w:rPr>
            </w:pPr>
            <w:r>
              <w:rPr>
                <w:b/>
              </w:rPr>
              <w:t>(359,258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(397,337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(58,561</w:t>
            </w:r>
          </w:p>
        </w:tc>
        <w:tc>
          <w:tcPr>
            <w:tcW w:w="111" w:type="dxa"/>
            <w:tcBorders/>
            <w:shd w:fill="FFFFFF" w:val="clear"/>
            <w:vAlign w:val="center"/>
          </w:tcPr>
          <w:p>
            <w:pPr>
              <w:pStyle w:val="TableContents"/>
              <w:bidi w:val="0"/>
              <w:spacing w:before="0" w:after="283"/>
              <w:jc w:val="left"/>
              <w:rPr>
                <w:b/>
              </w:rPr>
            </w:pPr>
            <w:r>
              <w:rPr>
                <w:b/>
              </w:rPr>
              <w:t>)</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b/>
              </w:rPr>
            </w:pPr>
            <w:r>
              <w:rPr>
                <w:b/>
              </w:rPr>
              <w:t>Operating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118,781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17,506</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Foreign exchange gains/(losses)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w:t>
            </w:r>
          </w:p>
        </w:tc>
        <w:tc>
          <w:tcPr>
            <w:tcW w:w="111" w:type="dxa"/>
            <w:tcBorders/>
            <w:shd w:fill="CCEEFF" w:val="clear"/>
            <w:vAlign w:val="center"/>
          </w:tcPr>
          <w:p>
            <w:pPr>
              <w:pStyle w:val="TableContents"/>
              <w:bidi w:val="0"/>
              <w:spacing w:before="0" w:after="283"/>
              <w:jc w:val="left"/>
              <w:rPr/>
            </w:pPr>
            <w:r>
              <w:rPr/>
              <w:t>)</w:t>
            </w:r>
          </w:p>
        </w:tc>
      </w:tr>
      <w:tr>
        <w:trPr/>
        <w:tc>
          <w:tcPr>
            <w:tcW w:w="5324" w:type="dxa"/>
            <w:tcBorders/>
            <w:shd w:fill="FFFFFF" w:val="clear"/>
            <w:vAlign w:val="center"/>
          </w:tcPr>
          <w:p>
            <w:pPr>
              <w:pStyle w:val="TableContents"/>
              <w:bidi w:val="0"/>
              <w:spacing w:before="0" w:after="283"/>
              <w:jc w:val="left"/>
              <w:rPr/>
            </w:pPr>
            <w:r>
              <w:rPr/>
              <w:t>Interest income and 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3,750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420</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pPr>
            <w:r>
              <w:rPr/>
              <w:t>Others,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(223</w:t>
            </w:r>
          </w:p>
        </w:tc>
        <w:tc>
          <w:tcPr>
            <w:tcW w:w="111" w:type="dxa"/>
            <w:tcBorders/>
            <w:shd w:fill="FFFFFF" w:val="clear"/>
            <w:vAlign w:val="center"/>
          </w:tcPr>
          <w:p>
            <w:pPr>
              <w:pStyle w:val="TableContents"/>
              <w:bidi w:val="0"/>
              <w:spacing w:before="0" w:after="283"/>
              <w:jc w:val="left"/>
              <w:rPr/>
            </w:pPr>
            <w:r>
              <w:rPr/>
              <w:t>)</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b/>
              </w:rPr>
            </w:pPr>
            <w:r>
              <w:rPr>
                <w:b/>
              </w:rPr>
              <w:t>Income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68,743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121,218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17,865</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(1,623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1" w:type="dxa"/>
            <w:tcBorders/>
            <w:shd w:fill="FFFFFF" w:val="clear"/>
            <w:vAlign w:val="center"/>
          </w:tcPr>
          <w:p>
            <w:pPr>
              <w:pStyle w:val="TableContents"/>
              <w:bidi w:val="0"/>
              <w:spacing w:before="0" w:after="283"/>
              <w:jc w:val="left"/>
              <w:rPr/>
            </w:pPr>
            <w:r>
              <w:rPr/>
              <w:t>)</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67,585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120,549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17,766</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pPr>
            <w:r>
              <w:rPr/>
              <w:t>Net loss attributable to the non-controlling interests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2,876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111" w:type="dxa"/>
            <w:tcBorders/>
            <w:shd w:fill="FFFFFF" w:val="clear"/>
            <w:vAlign w:val="center"/>
          </w:tcPr>
          <w:p>
            <w:pPr>
              <w:pStyle w:val="TableContents"/>
              <w:bidi w:val="0"/>
              <w:spacing w:before="0" w:after="283"/>
              <w:jc w:val="left"/>
              <w:rPr/>
            </w:pPr>
            <w:r>
              <w:rPr/>
              <w:t> </w:t>
            </w:r>
          </w:p>
        </w:tc>
      </w:tr>
      <w:tr>
        <w:trPr/>
        <w:tc>
          <w:tcPr>
            <w:tcW w:w="5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b/>
              </w:rPr>
            </w:pPr>
            <w:r>
              <w:rPr>
                <w:b/>
              </w:rPr>
              <w:t>Net income attributable to Sound Group Inc.’s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155,940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18,206</w:t>
            </w:r>
          </w:p>
        </w:tc>
        <w:tc>
          <w:tcPr>
            <w:tcW w:w="111"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(CONTINUED)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5"/>
        <w:gridCol w:w="60"/>
        <w:gridCol w:w="60"/>
        <w:gridCol w:w="1400"/>
        <w:gridCol w:w="60"/>
        <w:gridCol w:w="60"/>
        <w:gridCol w:w="60"/>
        <w:gridCol w:w="1220"/>
        <w:gridCol w:w="95"/>
        <w:gridCol w:w="60"/>
        <w:gridCol w:w="60"/>
        <w:gridCol w:w="1220"/>
        <w:gridCol w:w="95"/>
        <w:gridCol w:w="60"/>
        <w:gridCol w:w="60"/>
        <w:gridCol w:w="1220"/>
        <w:gridCol w:w="110"/>
      </w:tblGrid>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vAlign w:val="center"/>
          </w:tcPr>
          <w:p>
            <w:pPr>
              <w:pStyle w:val="TableContents"/>
              <w:bidi w:val="0"/>
              <w:spacing w:before="0" w:after="283"/>
              <w:jc w:val="left"/>
              <w:rPr/>
            </w:pPr>
            <w:r>
              <w:rPr/>
              <w:t> </w:t>
            </w:r>
          </w:p>
        </w:tc>
      </w:tr>
      <w:tr>
        <w:trPr/>
        <w:tc>
          <w:tcPr>
            <w:tcW w:w="4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center"/>
              <w:rPr/>
            </w:pPr>
            <w:r>
              <w:rPr/>
              <w:t> </w:t>
            </w:r>
          </w:p>
        </w:tc>
      </w:tr>
      <w:tr>
        <w:trPr/>
        <w:tc>
          <w:tcPr>
            <w:tcW w:w="4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67,585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153,064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120,549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17,766</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b/>
              </w:rPr>
            </w:pPr>
            <w:r>
              <w:rPr>
                <w:b/>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6,771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(3,697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w:t>
            </w:r>
          </w:p>
        </w:tc>
      </w:tr>
      <w:tr>
        <w:trPr/>
        <w:tc>
          <w:tcPr>
            <w:tcW w:w="4305"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74,356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149,318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116,852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17,221</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Comprehensive loss attributable to non-controlling interests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b/>
              </w:rPr>
            </w:pPr>
            <w:r>
              <w:rPr>
                <w:b/>
              </w:rPr>
              <w:t>Comprehensive 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119,730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17,645</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b/>
              </w:rPr>
            </w:pPr>
            <w:r>
              <w:rPr>
                <w:b/>
              </w:rPr>
              <w:t>Net income attributable to Sound Group Inc.’s ordinary shareholders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b/>
              </w:rPr>
            </w:pPr>
            <w:r>
              <w:rPr>
                <w:b/>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1,027,216,172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940,749,734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849,621,986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849,621,986</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1,027,216,172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853,060,701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853,060,701</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b/>
              </w:rPr>
            </w:pPr>
            <w:r>
              <w:rPr>
                <w:b/>
              </w:rPr>
              <w:t>Net income attributable to Sound Group Inc.’s ordinary shareholders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4.29</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b/>
              </w:rPr>
            </w:pPr>
            <w:r>
              <w:rPr>
                <w:b/>
              </w:rPr>
              <w:t>Weighted average number of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05"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5,136,081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4,248,110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4,248,110</w:t>
            </w:r>
          </w:p>
        </w:tc>
        <w:tc>
          <w:tcPr>
            <w:tcW w:w="110" w:type="dxa"/>
            <w:tcBorders/>
            <w:shd w:fill="FFFFFF" w:val="clear"/>
            <w:vAlign w:val="center"/>
          </w:tcPr>
          <w:p>
            <w:pPr>
              <w:pStyle w:val="TableContents"/>
              <w:bidi w:val="0"/>
              <w:spacing w:before="0" w:after="283"/>
              <w:jc w:val="left"/>
              <w:rPr/>
            </w:pPr>
            <w:r>
              <w:rPr/>
              <w:t> </w:t>
            </w:r>
          </w:p>
        </w:tc>
      </w:tr>
      <w:tr>
        <w:trPr/>
        <w:tc>
          <w:tcPr>
            <w:tcW w:w="4305"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5,136,081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4,265,304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4,265,304</w:t>
            </w:r>
          </w:p>
        </w:tc>
        <w:tc>
          <w:tcPr>
            <w:tcW w:w="110"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(CONTINUED)</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Fonts w:ascii="Times New Roman;Times;Serif" w:hAnsi="Times New Roman;Times;Serif"/>
          <w:sz w:val="20"/>
        </w:rPr>
        <w:t>(1)</w:t>
      </w:r>
      <w:r>
        <w:rPr/>
        <w:t xml:space="preserve"> </w:t>
      </w:r>
      <w:r>
        <w:rPr>
          <w:rFonts w:ascii="Times New Roman;Times;Serif" w:hAnsi="Times New Roman;Times;Serif"/>
          <w:sz w:val="20"/>
        </w:rPr>
        <w:t>Share-based compensation was allocated in cost of revenues and operating expenses as follows:</w:t>
      </w:r>
    </w:p>
    <w:p>
      <w:pPr>
        <w:pStyle w:val="TextBody"/>
        <w:pBdr/>
        <w:bidi w:val="0"/>
        <w:spacing w:before="0" w:after="0"/>
        <w:ind w:left="0" w:right="0" w:hanging="0"/>
        <w:jc w:val="left"/>
        <w:rPr>
          <w:caps w:val="false"/>
          <w:smallCaps w:val="false"/>
        </w:rPr>
      </w:pPr>
      <w:r>
        <w:rPr>
          <w:caps w:val="false"/>
          <w:smallCaps w:val="false"/>
        </w:rPr>
        <w:t> </w:t>
      </w:r>
    </w:p>
    <w:tbl>
      <w:tblPr>
        <w:tblW w:w="7341" w:type="dxa"/>
        <w:jc w:val="left"/>
        <w:tblInd w:w="0" w:type="dxa"/>
        <w:tblLayout w:type="fixed"/>
        <w:tblCellMar>
          <w:top w:w="0" w:type="dxa"/>
          <w:left w:w="0" w:type="dxa"/>
          <w:bottom w:w="0" w:type="dxa"/>
          <w:right w:w="0" w:type="dxa"/>
        </w:tblCellMar>
      </w:tblPr>
      <w:tblGrid>
        <w:gridCol w:w="3500"/>
        <w:gridCol w:w="60"/>
        <w:gridCol w:w="70"/>
        <w:gridCol w:w="654"/>
        <w:gridCol w:w="60"/>
        <w:gridCol w:w="60"/>
        <w:gridCol w:w="112"/>
        <w:gridCol w:w="1062"/>
        <w:gridCol w:w="60"/>
        <w:gridCol w:w="60"/>
        <w:gridCol w:w="98"/>
        <w:gridCol w:w="626"/>
        <w:gridCol w:w="60"/>
        <w:gridCol w:w="60"/>
        <w:gridCol w:w="98"/>
        <w:gridCol w:w="626"/>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bottom w:val="single" w:sz="8" w:space="0" w:color="000000"/>
            </w:tcBorders>
            <w:tcMar>
              <w:bottom w:w="28" w:type="dxa"/>
            </w:tcMar>
            <w:vAlign w:val="center"/>
          </w:tcPr>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4"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30</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pPr>
            <w:r>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pPr>
            <w:r>
              <w:rPr/>
              <w:t>2,247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1,182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pPr>
            <w:r>
              <w:rPr/>
              <w:t>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130</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 Group Inc.</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share, ADS, per share data and per ADS data)</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0"/>
        <w:gridCol w:w="60"/>
        <w:gridCol w:w="60"/>
        <w:gridCol w:w="1400"/>
        <w:gridCol w:w="60"/>
        <w:gridCol w:w="60"/>
        <w:gridCol w:w="60"/>
        <w:gridCol w:w="1220"/>
        <w:gridCol w:w="60"/>
        <w:gridCol w:w="60"/>
        <w:gridCol w:w="60"/>
        <w:gridCol w:w="1220"/>
        <w:gridCol w:w="60"/>
        <w:gridCol w:w="60"/>
        <w:gridCol w:w="60"/>
        <w:gridCol w:w="1220"/>
        <w:gridCol w:w="75"/>
      </w:tblGrid>
      <w:tr>
        <w:trPr/>
        <w:tc>
          <w:tcPr>
            <w:tcW w:w="4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4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4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US$</w:t>
            </w:r>
          </w:p>
        </w:tc>
        <w:tc>
          <w:tcPr>
            <w:tcW w:w="75" w:type="dxa"/>
            <w:tcBorders/>
            <w:vAlign w:val="center"/>
          </w:tcPr>
          <w:p>
            <w:pPr>
              <w:pStyle w:val="TableContents"/>
              <w:bidi w:val="0"/>
              <w:spacing w:before="0" w:after="283"/>
              <w:jc w:val="center"/>
              <w:rPr/>
            </w:pPr>
            <w:r>
              <w:rPr/>
              <w:t> </w:t>
            </w:r>
          </w:p>
        </w:tc>
      </w:tr>
      <w:tr>
        <w:trPr/>
        <w:tc>
          <w:tcPr>
            <w:tcW w:w="4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392,056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516,118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76,067</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Non-GAAP 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392,293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513,422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516,322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76,097</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63,157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17,506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Non-GAAP 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155,584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119,667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17,636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153,064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17,766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Non-GAAP 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154,803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17,896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Net 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70,542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18,206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2,779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Non-GAAP net income attributable to Sound Group Inc.’s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73,321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157,679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124,421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18,336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Non-GAAP net income attributable to Sound Group Inc.’s ordinary shareholders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0.02</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b/>
              </w:rPr>
            </w:pPr>
            <w:r>
              <w:rPr>
                <w:b/>
              </w:rPr>
              <w:t>Weighted average number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both"/>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1,027,216,172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940,749,734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849,621,986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849,621,986</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both"/>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1,027,216,172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943,559,133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853,060,701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853,060,701</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b/>
              </w:rPr>
            </w:pPr>
            <w:r>
              <w:rPr>
                <w:b/>
              </w:rPr>
              <w:t>Non-GAAP net income attributable to Sound Group Inc.’s ordinary shareholders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w:t>
            </w: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4.32</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w:t>
            </w: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b/>
              </w:rPr>
            </w:pPr>
            <w:r>
              <w:rPr>
                <w:b/>
              </w:rPr>
              <w:t>Weighted average number of ADS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10" w:type="dxa"/>
            <w:tcBorders/>
            <w:shd w:fill="FFFFFF" w:val="clear"/>
            <w:vAlign w:val="center"/>
          </w:tcPr>
          <w:p>
            <w:pPr>
              <w:pStyle w:val="TableContents"/>
              <w:bidi w:val="0"/>
              <w:spacing w:before="0" w:after="283"/>
              <w:jc w:val="left"/>
              <w:rPr/>
            </w:pPr>
            <w:r>
              <w:rPr/>
              <w:t>—</w:t>
            </w:r>
            <w:r>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5,136,081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4,703,749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4,248,110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4,248,110</w:t>
            </w:r>
          </w:p>
        </w:tc>
        <w:tc>
          <w:tcPr>
            <w:tcW w:w="75" w:type="dxa"/>
            <w:tcBorders/>
            <w:shd w:fill="FFFFFF" w:val="clear"/>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w:t>
            </w:r>
            <w:r>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5,136,081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4,717,796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4,265,304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4,265,304</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3899</Words>
  <Characters>22507</Characters>
  <CharactersWithSpaces>27718</CharactersWithSpaces>
  <Paragraphs>2682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