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Sound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Trivista Capital SPC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39,500,000.00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39,500,000.00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39,500,000.00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For Rows 6, 8 and 9: represents 39,500,000 Class A ordinary shares,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held by Trivista China SP I, a segregated portfolio of Trivista Capital SPC. (2) For Row 11: the percentage of class of securities beneficially owned by each Reporting Person is calculated based on a total of 611,614,150 Class A ordinary shares , as reported in the Issuer's 20-F filed with the Securities and Exchange Commission on Apr 30,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080"/>
        <w:spacing w:after="0" w:line="312" w:lineRule="auto"/>
        <w:rPr>
          <w:sz w:val="20"/>
          <w:szCs w:val="20"/>
          <w:color w:val="auto"/>
        </w:rPr>
      </w:pPr>
      <w:r>
        <w:rPr>
          <w:rFonts w:ascii="Times New Roman" w:cs="Times New Roman" w:eastAsia="Times New Roman" w:hAnsi="Times New Roman"/>
          <w:sz w:val="21"/>
          <w:szCs w:val="21"/>
          <w:color w:val="auto"/>
        </w:rPr>
        <w:t>Trivista China SP I, a segregated portfolio of Trivista Capital SPC Check the appropriate box if a member of a Group (see instructions)</w:t>
      </w:r>
    </w:p>
    <w:p>
      <w:pPr>
        <w:ind w:left="1160" w:hanging="1112"/>
        <w:spacing w:after="0" w:line="206" w:lineRule="auto"/>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39,500,000.00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39,500,000.00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39,500,000.00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60"/>
          </w:cols>
          <w:pgMar w:left="320" w:top="102" w:right="41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For Rows 6, 8 and 9: represents 39,500,000 ClassA ordinary shares, which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held by Trivista China SP I, a segregated portfolio of Trivista Capital SPC. (2) For Row 11: the percentage of class of securities beneficially owned by each Reporting Person is calculated based on 611,614,150 Class A ordinary shares , as reported in the Issuer's 20-F filed with the Securities and Exchange Commission on Apr 30,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Sound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108 ROBINSON ROAD, #09-01, SINGAPORE, SINGAPORE, 068900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Trivista Capital SPC Trivista China SP I</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60" w:right="580" w:hanging="912"/>
        <w:spacing w:after="0" w:line="185" w:lineRule="auto"/>
        <w:tabs>
          <w:tab w:leader="none" w:pos="96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ICS Corporate Services (Cayman) Limited, Palm Grove Unit 4, 265 Smith Road, George Town, P.O. Box 52A Edgewater Way, #1653, Grand Cayman KY1-9006, Cayman Islands</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right="3640"/>
        <w:spacing w:after="0" w:line="256" w:lineRule="auto"/>
        <w:rPr>
          <w:sz w:val="20"/>
          <w:szCs w:val="20"/>
          <w:color w:val="auto"/>
        </w:rPr>
      </w:pPr>
      <w:r>
        <w:rPr>
          <w:rFonts w:ascii="Times New Roman" w:cs="Times New Roman" w:eastAsia="Times New Roman" w:hAnsi="Times New Roman"/>
          <w:sz w:val="22"/>
          <w:szCs w:val="22"/>
          <w:color w:val="auto"/>
        </w:rPr>
        <w:t>Trivista Capital SPC: Cayman Islands Trivista China SP I: Cayman Islands Title of class of securities:</w:t>
      </w:r>
    </w:p>
    <w:p>
      <w:pPr>
        <w:ind w:left="40"/>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ind w:left="960" w:hanging="912"/>
        <w:spacing w:after="0" w:line="180" w:lineRule="auto"/>
        <w:tabs>
          <w:tab w:leader="none" w:pos="96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0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1"/>
          <w:szCs w:val="21"/>
          <w:color w:val="auto"/>
        </w:rPr>
        <w:t>The responses of each Reporting Person to Row (9) of this Schedule 13G are incorporated by reference in this Item.</w:t>
      </w:r>
    </w:p>
    <w:p>
      <w:pPr>
        <w:sectPr>
          <w:pgSz w:w="11900" w:h="16838" w:orient="portrait"/>
          <w:cols w:equalWidth="0" w:num="1">
            <w:col w:w="11100"/>
          </w:cols>
          <w:pgMar w:left="320" w:top="612" w:right="479" w:bottom="0" w:gutter="0" w:footer="0" w:header="0"/>
        </w:sectPr>
      </w:pPr>
    </w:p>
    <w:bookmarkStart w:id="3" w:name="page4"/>
    <w:bookmarkEnd w:id="3"/>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0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responses of each Reporting Person to Row (11) of this Schedule 13G are incorporated by reference in this Item. %</w:t>
      </w: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color w:val="auto"/>
        </w:rPr>
        <w:t>The responses of each Reporting Person to Row (6) of this Schedule 13G are incorporated by reference in this Item.</w:t>
      </w:r>
    </w:p>
    <w:p>
      <w:pPr>
        <w:spacing w:after="0" w:line="299" w:lineRule="exact"/>
        <w:rPr>
          <w:sz w:val="20"/>
          <w:szCs w:val="20"/>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responses of each Reporting Person to Row (8) of this Schedule 13G are incorporated by reference in this Item.</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Trivista Capital SPC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Jichao WANG</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Trivista China SP I, a segregated portfolio of Trivista Capital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SPC</w:t>
      </w:r>
    </w:p>
    <w:p>
      <w:pPr>
        <w:spacing w:after="0" w:line="128"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Jichao WANG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5"/>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2026-06-17T20:14:46Z</dcterms:created>
  <dcterms:modified xsi:type="dcterms:W3CDTF">2026-06-17T20:14:46Z</dcterms:modified>
</cp:coreProperties>
</file>